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1E" w:rsidRPr="000E287F" w:rsidRDefault="000E287F" w:rsidP="00537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87F">
        <w:rPr>
          <w:rFonts w:ascii="Times New Roman" w:hAnsi="Times New Roman" w:cs="Times New Roman"/>
          <w:b/>
          <w:sz w:val="28"/>
          <w:szCs w:val="28"/>
        </w:rPr>
        <w:t>Перечень услуг, оказываемых</w:t>
      </w:r>
      <w:r w:rsidR="0053701E" w:rsidRPr="000E287F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в </w:t>
      </w:r>
      <w:r w:rsidR="005A7E17">
        <w:rPr>
          <w:rFonts w:ascii="Times New Roman" w:hAnsi="Times New Roman" w:cs="Times New Roman"/>
          <w:b/>
          <w:sz w:val="28"/>
          <w:szCs w:val="28"/>
        </w:rPr>
        <w:t>окне</w:t>
      </w:r>
      <w:r w:rsidR="0053701E" w:rsidRPr="000E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9A5" w:rsidRPr="000E287F">
        <w:rPr>
          <w:rFonts w:ascii="Times New Roman" w:hAnsi="Times New Roman" w:cs="Times New Roman"/>
          <w:b/>
          <w:sz w:val="28"/>
          <w:szCs w:val="28"/>
        </w:rPr>
        <w:t>«</w:t>
      </w:r>
      <w:r w:rsidR="005A7E17">
        <w:rPr>
          <w:rFonts w:ascii="Times New Roman" w:hAnsi="Times New Roman" w:cs="Times New Roman"/>
          <w:b/>
          <w:sz w:val="28"/>
          <w:szCs w:val="28"/>
        </w:rPr>
        <w:t>Мой бизнес</w:t>
      </w:r>
      <w:r w:rsidR="005819A5" w:rsidRPr="000E287F">
        <w:rPr>
          <w:rFonts w:ascii="Times New Roman" w:hAnsi="Times New Roman" w:cs="Times New Roman"/>
          <w:b/>
          <w:sz w:val="28"/>
          <w:szCs w:val="28"/>
        </w:rPr>
        <w:t>»</w:t>
      </w:r>
      <w:r w:rsidR="0053701E" w:rsidRPr="000E287F">
        <w:rPr>
          <w:rFonts w:ascii="Times New Roman" w:hAnsi="Times New Roman" w:cs="Times New Roman"/>
          <w:b/>
          <w:sz w:val="28"/>
          <w:szCs w:val="28"/>
        </w:rPr>
        <w:t xml:space="preserve"> на базе 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53701E" w:rsidRPr="0053701E" w:rsidTr="00D10FA5">
        <w:trPr>
          <w:trHeight w:val="862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BF64B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Федеральные государственные услуги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A215F1" w:rsidRDefault="00A215F1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15F1">
              <w:rPr>
                <w:rFonts w:ascii="Times New Roman" w:hAnsi="Times New Roman" w:cs="Times New Roman"/>
                <w:b/>
                <w:sz w:val="28"/>
              </w:rPr>
              <w:t>Управление Федеральной службы государственной регистрации, кадастра и картографии по Ленинградской области и Филиал Федерального государственного бюджетного учреждения "ФКП Росреестра" по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A215F1" w:rsidRDefault="00A215F1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1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</w:tr>
      <w:tr w:rsidR="0053701E" w:rsidRPr="0053701E" w:rsidTr="000E287F">
        <w:trPr>
          <w:trHeight w:val="72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A215F1" w:rsidRDefault="00A215F1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F1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ФНС России</w:t>
            </w:r>
          </w:p>
        </w:tc>
      </w:tr>
      <w:tr w:rsidR="0053701E" w:rsidRPr="0053701E" w:rsidTr="000E287F">
        <w:trPr>
          <w:trHeight w:val="18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Бесплатное информирование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64367C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7C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53701E" w:rsidRPr="0053701E" w:rsidTr="000E287F">
        <w:trPr>
          <w:trHeight w:val="9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запроса на предоставление справки об исполнении налогоплательщиком (плательщиком сборов, налоговым агентом) обязанности по уплате налогов, сборов, пеней и штрафов</w:t>
            </w:r>
          </w:p>
        </w:tc>
      </w:tr>
      <w:tr w:rsidR="0053701E" w:rsidRPr="0053701E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запроса на предоставление справки о состоянии расчетов по налогам, сборам, пеням и штрафам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запроса на проведение сверки расчетов с налогоплательщиками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содержащихся в реестре дисквалифицированных лиц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53701E" w:rsidRPr="0053701E" w:rsidTr="000E287F">
        <w:trPr>
          <w:trHeight w:val="12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сведений, содержащихся в государственном адресном реестре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BF64B4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на получение льгот 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на исправление технической ошибки в записях Единого государственного реестра юридических лиц и Единого государственного реестра индивидуальных предпринимателей 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Роспотребнадзор</w:t>
            </w:r>
          </w:p>
        </w:tc>
      </w:tr>
      <w:tr w:rsidR="0053701E" w:rsidRPr="0053701E" w:rsidTr="000E287F">
        <w:trPr>
          <w:trHeight w:val="12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16.07.09 № 584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ПФР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0879E3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01E" w:rsidRPr="000879E3">
              <w:rPr>
                <w:rFonts w:ascii="Times New Roman" w:hAnsi="Times New Roman" w:cs="Times New Roman"/>
                <w:sz w:val="28"/>
                <w:szCs w:val="28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предоставления форм расчетов по начисленным и уплаченным страховым взносам и разъяснении порядка их заполнения при предоставлении письменного обращения</w:t>
            </w:r>
          </w:p>
        </w:tc>
      </w:tr>
      <w:tr w:rsidR="0053701E" w:rsidRPr="0053701E" w:rsidTr="000E287F">
        <w:trPr>
          <w:trHeight w:val="249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0879E3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3701E" w:rsidRPr="000879E3">
              <w:rPr>
                <w:rFonts w:ascii="Times New Roman" w:hAnsi="Times New Roman" w:cs="Times New Roman"/>
                <w:sz w:val="28"/>
                <w:szCs w:val="28"/>
              </w:rPr>
              <w:t>Прием от плательщиков страховых взносов (лицами, производящими выплаты и иные вознаграждения физическим лицам) расчетов по  начисленным и уплаченным страховым взносам на обязательное пенсионное страхование и обязательное медицинское страхование, в случае если в отчетном периоде, за который представляется расчет, ими не производились выплаты и иные вознаграждения физическим лицам и, соответственно,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УФССП по ЛО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 МВД по СПБ и ЛО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об административных нарушениях в области дорожного движения</w:t>
            </w:r>
          </w:p>
        </w:tc>
      </w:tr>
      <w:tr w:rsidR="00CB174D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CB174D" w:rsidRPr="000879E3" w:rsidRDefault="00CB174D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Осуществление миграционного учета в Российской Федерации</w:t>
            </w:r>
          </w:p>
        </w:tc>
      </w:tr>
      <w:tr w:rsidR="0053701E" w:rsidRPr="0053701E" w:rsidTr="000E287F">
        <w:trPr>
          <w:trHeight w:val="3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Росимущество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находящегося в федеральной собственности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федеральной собственности, без торгов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федеральной собственности, на торгах</w:t>
            </w:r>
          </w:p>
        </w:tc>
      </w:tr>
      <w:tr w:rsidR="0053701E" w:rsidRPr="0053701E" w:rsidTr="000E287F">
        <w:trPr>
          <w:trHeight w:val="6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941B4C" w:rsidRDefault="0053701E" w:rsidP="00941B4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B4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и снятие с регистрационного учета страхователей физических лиц, заключивших трудовой договор с работником, в том числе в части снятия с регистрационного учета страхователей физических лиц, заключивших трудовой договор с работником</w:t>
            </w:r>
          </w:p>
        </w:tc>
      </w:tr>
      <w:tr w:rsidR="0053701E" w:rsidRPr="0053701E" w:rsidTr="000E287F">
        <w:trPr>
          <w:trHeight w:val="9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регистрации и снятию с регистрационного учета юридических лиц по месту нахождения обособленных подразделений</w:t>
            </w:r>
          </w:p>
        </w:tc>
      </w:tr>
      <w:tr w:rsidR="0053701E" w:rsidRPr="00BF64B4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Федеральное медико-биологическое агентство</w:t>
            </w:r>
          </w:p>
        </w:tc>
      </w:tr>
      <w:tr w:rsidR="0053701E" w:rsidRPr="0053701E" w:rsidTr="000E287F">
        <w:trPr>
          <w:trHeight w:val="12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</w:t>
            </w:r>
          </w:p>
        </w:tc>
      </w:tr>
      <w:tr w:rsidR="0053701E" w:rsidRPr="0053701E" w:rsidTr="00D10FA5">
        <w:trPr>
          <w:trHeight w:val="687"/>
        </w:trPr>
        <w:tc>
          <w:tcPr>
            <w:tcW w:w="5000" w:type="pct"/>
            <w:shd w:val="clear" w:color="auto" w:fill="auto"/>
            <w:vAlign w:val="center"/>
            <w:hideMark/>
          </w:tcPr>
          <w:p w:rsidR="000879E3" w:rsidRPr="000879E3" w:rsidRDefault="0053701E" w:rsidP="00CC25D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 субъекта Российской Федерации</w:t>
            </w:r>
          </w:p>
        </w:tc>
      </w:tr>
      <w:tr w:rsidR="0053701E" w:rsidRPr="0053701E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труду и занятости населения Ленинградской области и центры занятости населения муниципальных образований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содействию гражданам в поиске подходящей работы, а работодателям в подборе необходимых работников.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услуга по организации ярмарок вакансий и учебных рабочих мест 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53701E" w:rsidRPr="0053701E" w:rsidTr="000E287F">
        <w:trPr>
          <w:trHeight w:val="73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ветеринарии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53701E" w:rsidRPr="0053701E" w:rsidTr="000E287F">
        <w:trPr>
          <w:trHeight w:val="5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государственной экспертизы Ленинградской области</w:t>
            </w:r>
          </w:p>
        </w:tc>
      </w:tr>
      <w:tr w:rsidR="0053701E" w:rsidRPr="0053701E" w:rsidTr="000E287F">
        <w:trPr>
          <w:trHeight w:val="24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организации и проведению проверки достоверности определения сметной стоимости объектов капитального строительства, финансирование строительства, реконструкции и технического перевооружения (если такое перевооружение связано со строительством или реконструкцией) которых планируется осуществлять с привлечением средств областного бюджета, за исключением случаев,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выдаче разрешения на строительство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выдаче разрешений на ввод объектов в эксплуатацию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Ленинградской области по государственному техническому надзору  и контролю</w:t>
            </w:r>
          </w:p>
        </w:tc>
      </w:tr>
      <w:tr w:rsidR="0053701E" w:rsidRPr="0053701E" w:rsidTr="000E287F">
        <w:trPr>
          <w:trHeight w:val="279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регистрации залога тракторов, самоходных дорожно-строительных и других наземных безрельсовых механических транспортных средств с независимым приводом, имеющих двигатель внутреннего сгорания объемом свыше 50 куб. сантиметров или электродвигатель максимальной мощности более 4 кВт (за исключением предназначенных для движения по автомобильным дорогам общего пользования автотранспортных средств, имеющих максимальную конструктивную скорость более 50 км/час, транспортных средств и боевой самоходной техники Вооруженных Сил Российской Федерации, других войск, воинских формирований и органов, выполняющих задачи в области обороны и безопасности государства) и прицепов к указанным машинам</w:t>
            </w:r>
          </w:p>
        </w:tc>
      </w:tr>
      <w:tr w:rsidR="0053701E" w:rsidRPr="0053701E" w:rsidTr="00CC25D9">
        <w:trPr>
          <w:trHeight w:val="569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участию в работе комиссии по рассмотрению претензий собственников (владельцев) поднадзорных машин и оборудования по поводу ненадлежащего качества проданной или отремонтированной техники в гарантийный период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услуга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0879E3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9E3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оценке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  <w:tr w:rsidR="0053701E" w:rsidRPr="0053701E" w:rsidTr="000E287F">
        <w:trPr>
          <w:trHeight w:val="162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выдаче учебным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аккредитации указанных организаций и выдаче, указанным организациям лицензий на право подготовки трактористов и машинистов самоходных машин</w:t>
            </w:r>
          </w:p>
        </w:tc>
      </w:tr>
      <w:tr w:rsidR="0053701E" w:rsidRPr="000879E3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 записи актов гражданского состояния Ленинградской области</w:t>
            </w:r>
          </w:p>
        </w:tc>
      </w:tr>
      <w:tr w:rsidR="0053701E" w:rsidRPr="0053701E" w:rsidTr="000E287F">
        <w:trPr>
          <w:trHeight w:val="57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проставлению апостиля на официальных документах, подлежащих вывозу за границу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культуре Ленинградской области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53701E" w:rsidRPr="0053701E" w:rsidTr="000E287F">
        <w:trPr>
          <w:trHeight w:val="88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заданий и разрешений на проведение работ по сохранению объектов культурного наследия регионального  значения и выявленных объектов культурного наследия в ленинградской области</w:t>
            </w:r>
          </w:p>
        </w:tc>
      </w:tr>
      <w:tr w:rsidR="0053701E" w:rsidRPr="0053701E" w:rsidTr="000E287F">
        <w:trPr>
          <w:trHeight w:val="70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проектной документации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проектов зон охраны объектов культурного наследия</w:t>
            </w:r>
          </w:p>
        </w:tc>
      </w:tr>
      <w:tr w:rsidR="0053701E" w:rsidRPr="0053701E" w:rsidTr="00D10FA5">
        <w:trPr>
          <w:trHeight w:val="99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</w:t>
            </w: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53701E" w:rsidRPr="0053701E" w:rsidTr="000E287F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Комитет по природным ресурсам Ленинградской области</w:t>
            </w:r>
          </w:p>
        </w:tc>
      </w:tr>
      <w:tr w:rsidR="0053701E" w:rsidRPr="0053701E" w:rsidTr="000E287F">
        <w:trPr>
          <w:trHeight w:val="69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53701E" w:rsidRPr="0053701E" w:rsidTr="000E287F">
        <w:trPr>
          <w:trHeight w:val="73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</w:t>
            </w:r>
          </w:p>
        </w:tc>
      </w:tr>
      <w:tr w:rsidR="0053701E" w:rsidRPr="0053701E" w:rsidTr="000E287F">
        <w:trPr>
          <w:trHeight w:val="154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сведений о наличии или отсутствии особо охраняемых природных территории регионального значения Ленинградской области в границах испрашиваемого участка</w:t>
            </w:r>
          </w:p>
        </w:tc>
      </w:tr>
      <w:tr w:rsidR="0053701E" w:rsidRPr="0053701E" w:rsidTr="000E287F">
        <w:trPr>
          <w:trHeight w:val="28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услуга по выдаче разрешений на выбросы вредных (загрязняющих) веществ (за исключением радиоактивных веществ) в атмосферный воздух стационарных </w:t>
            </w:r>
          </w:p>
        </w:tc>
      </w:tr>
      <w:tr w:rsidR="0053701E" w:rsidRPr="0053701E" w:rsidTr="000E287F">
        <w:trPr>
          <w:trHeight w:val="9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территории Ленинградской области, в пользование  на основании решения о предоставлении водного объекта в пользование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права пользования участками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</w:t>
            </w:r>
          </w:p>
        </w:tc>
      </w:tr>
      <w:tr w:rsidR="0053701E" w:rsidRPr="0053701E" w:rsidTr="000E287F">
        <w:trPr>
          <w:trHeight w:val="2691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услуга по выдаче в случаях, предусмотренных Федеральным законом  от 19 июля 2011 года №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ни расположенном на территории Ленинградской области</w:t>
            </w:r>
          </w:p>
        </w:tc>
      </w:tr>
      <w:tr w:rsidR="0053701E" w:rsidRPr="0053701E" w:rsidTr="000E287F">
        <w:trPr>
          <w:trHeight w:val="1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установлению факта открытия месторождения общераспространенных полезных ископаемых</w:t>
            </w:r>
          </w:p>
        </w:tc>
      </w:tr>
      <w:tr w:rsidR="0053701E" w:rsidRPr="0053701E" w:rsidTr="000E287F">
        <w:trPr>
          <w:trHeight w:val="15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Распределение промышленных квот в пресноводных водных объектах, расположенных в пределах административных границ  Ленинградской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BF64B4" w:rsidRDefault="0053701E" w:rsidP="002775BF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Комитет по развитию малого, среднего бизнеса и потребительского рынка Л</w:t>
            </w:r>
            <w:r w:rsidR="000879E3" w:rsidRPr="00BF64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енинградской области</w:t>
            </w:r>
          </w:p>
        </w:tc>
      </w:tr>
      <w:tr w:rsidR="0053701E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Консультирование о мерах государственной поддержки субъектов малого и среднего предпринимательства на территории Ленинградской области</w:t>
            </w:r>
          </w:p>
        </w:tc>
      </w:tr>
      <w:tr w:rsidR="00B23504" w:rsidRPr="0053701E" w:rsidTr="000E287F">
        <w:trPr>
          <w:trHeight w:val="975"/>
        </w:trPr>
        <w:tc>
          <w:tcPr>
            <w:tcW w:w="5000" w:type="pct"/>
            <w:shd w:val="clear" w:color="auto" w:fill="auto"/>
            <w:vAlign w:val="center"/>
            <w:hideMark/>
          </w:tcPr>
          <w:p w:rsidR="00B23504" w:rsidRPr="002775BF" w:rsidRDefault="00B23504" w:rsidP="002775BF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9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Формирование и ведение торгового реестра, а также предоставление информации, содержащейся в торговом реестре</w:t>
            </w:r>
          </w:p>
        </w:tc>
      </w:tr>
      <w:tr w:rsidR="0053701E" w:rsidRPr="0053701E" w:rsidTr="00D10FA5">
        <w:trPr>
          <w:trHeight w:val="655"/>
        </w:trPr>
        <w:tc>
          <w:tcPr>
            <w:tcW w:w="5000" w:type="pct"/>
            <w:shd w:val="clear" w:color="auto" w:fill="auto"/>
            <w:vAlign w:val="center"/>
            <w:hideMark/>
          </w:tcPr>
          <w:p w:rsidR="00BF64B4" w:rsidRPr="000879E3" w:rsidRDefault="0053701E" w:rsidP="00CC2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разрешений на строительство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разрешений на ввод объектов в эксплуатацию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Перевод жилого (не жилого) помещения в нежилое (жилое) помещения на территории муниципального образования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установку и эксплуатацию рекламных </w:t>
            </w: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конструкций 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помещения после осуществления перевода  жилого (не жилого) помещения в нежилое (жилого) помещения на территории муниципального образования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объектов муниципального нежилого фонда во временное владение (и) или пользование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Выдача сведений информационной системы обеспечения градостроительной деятельности на территории муниципального образования 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транспортных средств органом местного самоуправления муниципального района,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53701E" w:rsidRPr="0053701E" w:rsidTr="000E287F">
        <w:trPr>
          <w:trHeight w:val="6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документов (выписки из похозяйственной книги, домовой книги, справок и иных документов)</w:t>
            </w:r>
          </w:p>
        </w:tc>
      </w:tr>
      <w:tr w:rsidR="0053701E" w:rsidRPr="0053701E" w:rsidTr="000E287F">
        <w:trPr>
          <w:trHeight w:val="187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 муниципальных правовых актов, изданных Администрацией муниципального образования  </w:t>
            </w:r>
          </w:p>
        </w:tc>
      </w:tr>
      <w:tr w:rsidR="0053701E" w:rsidRPr="0053701E" w:rsidTr="000E287F">
        <w:trPr>
          <w:trHeight w:val="1363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МО, в собственность (за плату/бесплатно), аренду, безвозмездное пользование, постоянное (бессрочное) пользование, без проведения торгов</w:t>
            </w:r>
          </w:p>
        </w:tc>
      </w:tr>
      <w:tr w:rsidR="0053701E" w:rsidRPr="0053701E" w:rsidTr="000E287F">
        <w:trPr>
          <w:trHeight w:val="6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объектов муниципального нежилого фонда во временное владение (и) или пользование при условии торгов</w:t>
            </w:r>
          </w:p>
        </w:tc>
      </w:tr>
      <w:tr w:rsidR="0053701E" w:rsidRPr="0053701E" w:rsidTr="000E287F">
        <w:trPr>
          <w:trHeight w:val="6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</w:tr>
      <w:tr w:rsidR="0053701E" w:rsidRPr="0053701E" w:rsidTr="000E287F">
        <w:trPr>
          <w:trHeight w:val="87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сведений  об объектах учета, содержащихся в реестре муниципального имущества</w:t>
            </w:r>
          </w:p>
        </w:tc>
      </w:tr>
      <w:tr w:rsidR="0053701E" w:rsidRPr="0053701E" w:rsidTr="000E287F">
        <w:trPr>
          <w:trHeight w:val="60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Отнесение земельных участков к землям определенной категории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53701E" w:rsidRPr="0053701E" w:rsidTr="000E287F">
        <w:trPr>
          <w:trHeight w:val="66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производство земляных работ на территории муниципального образования</w:t>
            </w:r>
          </w:p>
        </w:tc>
      </w:tr>
      <w:tr w:rsidR="0053701E" w:rsidRPr="0053701E" w:rsidTr="000E287F">
        <w:trPr>
          <w:trHeight w:val="64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разрешений для размещения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      </w:r>
          </w:p>
        </w:tc>
      </w:tr>
      <w:tr w:rsidR="0053701E" w:rsidRPr="0053701E" w:rsidTr="000E287F">
        <w:trPr>
          <w:trHeight w:val="6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Принятие решений о проведении аукциона по продаже земельных участков, аукциона на право заключения договора аренды земельных участков, находящихся в собственности муниципального образования, по заявлению заинтересованного в предоставлении земельного участка гражданина или юридического лица</w:t>
            </w:r>
          </w:p>
        </w:tc>
      </w:tr>
      <w:tr w:rsidR="0053701E" w:rsidRPr="0053701E" w:rsidTr="000E287F">
        <w:trPr>
          <w:trHeight w:val="2430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органом местного самоуправления городского округа специального разрешения на движение транспортных средств в случае, если маршрут, часть маршрута тяжеловесного и(или)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53701E" w:rsidRPr="0053701E" w:rsidTr="000E287F">
        <w:trPr>
          <w:trHeight w:val="91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Выдача юридическим и физическим лицам выписок из Реестра муниципальной собственности  муниципального образования</w:t>
            </w:r>
          </w:p>
        </w:tc>
      </w:tr>
      <w:tr w:rsidR="0053701E" w:rsidRPr="0053701E" w:rsidTr="000E287F">
        <w:trPr>
          <w:trHeight w:val="66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муниципальной </w:t>
            </w: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собственности, а также земельных участков государственная собственность на которые не разграничена, на которых расположены здания, сооружения </w:t>
            </w:r>
          </w:p>
        </w:tc>
      </w:tr>
      <w:tr w:rsidR="0053701E" w:rsidRPr="0053701E" w:rsidTr="000E287F">
        <w:trPr>
          <w:trHeight w:val="18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разрешения на использование земель или земельных участков, находящихс</w:t>
            </w:r>
            <w:r w:rsidR="00F54D27">
              <w:rPr>
                <w:rFonts w:ascii="Times New Roman" w:hAnsi="Times New Roman" w:cs="Times New Roman"/>
                <w:sz w:val="28"/>
                <w:szCs w:val="28"/>
              </w:rPr>
              <w:t>я в муниципальной собственности</w:t>
            </w: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а также земельных участков государственная собственность на которые не разграничена</w:t>
            </w:r>
          </w:p>
        </w:tc>
      </w:tr>
      <w:tr w:rsidR="0053701E" w:rsidRPr="0053701E" w:rsidTr="000E287F">
        <w:trPr>
          <w:trHeight w:val="286"/>
        </w:trPr>
        <w:tc>
          <w:tcPr>
            <w:tcW w:w="5000" w:type="pct"/>
            <w:shd w:val="clear" w:color="auto" w:fill="auto"/>
            <w:hideMark/>
          </w:tcPr>
          <w:p w:rsidR="0053701E" w:rsidRDefault="0053701E" w:rsidP="002775BF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Принятие документов для участия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</w:tr>
      <w:tr w:rsidR="0053701E" w:rsidRPr="0053701E" w:rsidTr="00D10FA5">
        <w:trPr>
          <w:trHeight w:val="752"/>
        </w:trPr>
        <w:tc>
          <w:tcPr>
            <w:tcW w:w="5000" w:type="pct"/>
            <w:shd w:val="clear" w:color="auto" w:fill="auto"/>
            <w:vAlign w:val="center"/>
            <w:hideMark/>
          </w:tcPr>
          <w:p w:rsidR="00BF64B4" w:rsidRPr="000879E3" w:rsidRDefault="0053701E" w:rsidP="00CC25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79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Услуги АО "Корпорация "МСП"</w:t>
            </w:r>
          </w:p>
        </w:tc>
      </w:tr>
      <w:tr w:rsidR="0053701E" w:rsidRPr="0053701E" w:rsidTr="000E287F">
        <w:trPr>
          <w:trHeight w:val="109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года № 209-ФЗ «О развитии малого и среднего предпринимательства в Российской Федерации», и свободном от прав третьих лиц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года № 223-ФЗ «О закупках товаров, работ, услуг отдельными видами юридических лиц»</w:t>
            </w:r>
          </w:p>
        </w:tc>
      </w:tr>
      <w:tr w:rsidR="0053701E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53701E" w:rsidRPr="002775BF" w:rsidRDefault="0053701E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5B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</w:tr>
      <w:tr w:rsidR="00B23504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B23504" w:rsidRPr="002775BF" w:rsidRDefault="00B23504" w:rsidP="002775BF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тренингах по программам обучения АО «Корпорация «МСП» и электронная запись на участие в таких тренингах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по заданным параметрам информации об объемах                            и номенклатуре закупок конкретных и отдельных заказчиков, определенных                 в соответствии с Федеральным законом от 18 июля 2011 г. №223-ФЗ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t>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D10FA5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D10FA5" w:rsidRPr="00B23504" w:rsidRDefault="00D10FA5" w:rsidP="00B23504">
            <w:pPr>
              <w:pStyle w:val="a3"/>
              <w:numPr>
                <w:ilvl w:val="0"/>
                <w:numId w:val="16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на Портале Бизнес-навигатора МСП</w:t>
            </w:r>
          </w:p>
        </w:tc>
      </w:tr>
      <w:tr w:rsidR="00B23504" w:rsidRPr="0053701E" w:rsidTr="000E287F">
        <w:trPr>
          <w:trHeight w:val="375"/>
        </w:trPr>
        <w:tc>
          <w:tcPr>
            <w:tcW w:w="5000" w:type="pct"/>
            <w:shd w:val="clear" w:color="auto" w:fill="auto"/>
            <w:vAlign w:val="center"/>
            <w:hideMark/>
          </w:tcPr>
          <w:p w:rsidR="00B23504" w:rsidRPr="00B23504" w:rsidRDefault="00B23504" w:rsidP="00B23504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35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 «АПМСП»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Предоставление информации о перечне видов и условиях поддержки субъектов МСП, предоставляемой АО «Агентство поддержки малого и среднего предпринимательства, региональная микрофинансовая организация Ленинградской области»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Консультации о возможности получения микрозайма субъекта МСП Ленинградской области в размере до 3 миллионов рублей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Прием документов на получение микрозайма субъектом МСП Ленинградской области в АО «Агентство поддержки малого и среднего предпринимательства, региональная микрофинансовая организация Ленинградской области»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Консультация о возможности получения поручительства субъекту МСП Ленинградской области в размере до 25 миллионов рублей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Консультации о возможности получения тендерного займа субъекту МСП Ленинградской области для участия в торгах на электронных торговых площадках;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1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Предварительный расчет аннуитентных платежей (платежей по займу/кредиту) по запрашиваемому микрозайму/поручительству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7"/>
              </w:numPr>
              <w:ind w:left="0" w:firstLine="70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4"/>
              </w:rPr>
              <w:t>Предоставление информации о перечне финансовых партнеров АО «Агентство поддержки малого и среднего предпринимательства, региональная микрофинансовая организация Ленинградской области», представляющих финансовую поддержку субъектам МСП, и оказываемой ими финансовой поддержке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</w:pPr>
            <w:r w:rsidRPr="00B23504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ПАО Банк «Возрождение»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8"/>
              </w:numPr>
              <w:ind w:left="0" w:firstLine="70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расчетного счета для юридического лица/индивидуального </w:t>
            </w:r>
            <w:r w:rsidRPr="00B235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предпринимателя/лица, занимающегося частной практикой</w:t>
            </w:r>
          </w:p>
        </w:tc>
      </w:tr>
      <w:tr w:rsidR="00D10FA5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D10FA5" w:rsidRPr="00D10FA5" w:rsidRDefault="00D10FA5" w:rsidP="00D10FA5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10F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АО «Альфа-Банк»</w:t>
            </w:r>
          </w:p>
        </w:tc>
      </w:tr>
      <w:tr w:rsidR="00D10FA5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D10FA5" w:rsidRPr="00B23504" w:rsidRDefault="00D10FA5" w:rsidP="00D10FA5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0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расчетного счета для юридического лица/индивидуального предпринимателя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ind w:left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</w:pPr>
            <w:r w:rsidRPr="00B23504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Ассоциация «ЛОТПП»</w:t>
            </w:r>
          </w:p>
        </w:tc>
      </w:tr>
      <w:tr w:rsidR="00B23504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B23504" w:rsidRPr="00B23504" w:rsidRDefault="00B23504" w:rsidP="00B23504">
            <w:pPr>
              <w:pStyle w:val="a3"/>
              <w:numPr>
                <w:ilvl w:val="0"/>
                <w:numId w:val="19"/>
              </w:numPr>
              <w:ind w:left="0" w:firstLine="709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7010C">
              <w:rPr>
                <w:rFonts w:ascii="Times New Roman" w:hAnsi="Times New Roman"/>
                <w:sz w:val="28"/>
                <w:szCs w:val="24"/>
              </w:rPr>
              <w:t>Обжалование действий/бездействия органов власти</w:t>
            </w:r>
          </w:p>
        </w:tc>
      </w:tr>
      <w:tr w:rsidR="0045776E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45776E" w:rsidRPr="0045776E" w:rsidRDefault="0045776E" w:rsidP="0045776E">
            <w:pPr>
              <w:pStyle w:val="a3"/>
              <w:ind w:left="709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45776E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Уполномоченный по защите прав предпринимателей</w:t>
            </w:r>
          </w:p>
        </w:tc>
      </w:tr>
      <w:tr w:rsidR="0045776E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45776E" w:rsidRPr="008476FD" w:rsidRDefault="008476FD" w:rsidP="008476FD">
            <w:pPr>
              <w:pStyle w:val="ConsPlusNonformat"/>
              <w:numPr>
                <w:ilvl w:val="0"/>
                <w:numId w:val="20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Просветительские мероприятия, направленные</w:t>
            </w:r>
            <w:r w:rsidRPr="007F4F43">
              <w:rPr>
                <w:rFonts w:ascii="Times New Roman" w:hAnsi="Times New Roman" w:cs="Times New Roman"/>
                <w:sz w:val="25"/>
                <w:szCs w:val="25"/>
              </w:rPr>
              <w:t xml:space="preserve"> на поддержку и защиту прав субъектов предпринимательской деятельности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ГБУ ЛО «МФЦ»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нестационарного торгового объекта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3AA6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783AA6" w:rsidRDefault="00783AA6" w:rsidP="00783AA6">
            <w:pPr>
              <w:pStyle w:val="ConsPlusNonformat"/>
              <w:numPr>
                <w:ilvl w:val="0"/>
                <w:numId w:val="2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ситуация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салона красоты</w:t>
            </w:r>
            <w:r w:rsidRPr="00C84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0E3" w:rsidRPr="0053701E" w:rsidTr="0045776E">
        <w:trPr>
          <w:trHeight w:val="375"/>
        </w:trPr>
        <w:tc>
          <w:tcPr>
            <w:tcW w:w="5000" w:type="pct"/>
            <w:shd w:val="clear" w:color="auto" w:fill="auto"/>
            <w:hideMark/>
          </w:tcPr>
          <w:p w:rsidR="00EC50E3" w:rsidRDefault="00EC50E3" w:rsidP="00EC50E3">
            <w:pPr>
              <w:pStyle w:val="ConsPlusNonformat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предпринимательства о преимуществах применения патентной системы налогообложения на территории Ленинградской области</w:t>
            </w:r>
          </w:p>
        </w:tc>
      </w:tr>
    </w:tbl>
    <w:p w:rsidR="00065C39" w:rsidRDefault="00065C39"/>
    <w:sectPr w:rsidR="00065C39" w:rsidSect="00BF6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35" w:rsidRDefault="00AD1B35" w:rsidP="001208B6">
      <w:pPr>
        <w:spacing w:after="0" w:line="240" w:lineRule="auto"/>
      </w:pPr>
      <w:r>
        <w:separator/>
      </w:r>
    </w:p>
  </w:endnote>
  <w:endnote w:type="continuationSeparator" w:id="1">
    <w:p w:rsidR="00AD1B35" w:rsidRDefault="00AD1B35" w:rsidP="0012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35" w:rsidRDefault="00AD1B35" w:rsidP="001208B6">
      <w:pPr>
        <w:spacing w:after="0" w:line="240" w:lineRule="auto"/>
      </w:pPr>
      <w:r>
        <w:separator/>
      </w:r>
    </w:p>
  </w:footnote>
  <w:footnote w:type="continuationSeparator" w:id="1">
    <w:p w:rsidR="00AD1B35" w:rsidRDefault="00AD1B35" w:rsidP="0012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6B4"/>
    <w:multiLevelType w:val="hybridMultilevel"/>
    <w:tmpl w:val="C4A0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191F"/>
    <w:multiLevelType w:val="hybridMultilevel"/>
    <w:tmpl w:val="D752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55DE"/>
    <w:multiLevelType w:val="hybridMultilevel"/>
    <w:tmpl w:val="D246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1735"/>
    <w:multiLevelType w:val="multilevel"/>
    <w:tmpl w:val="8B443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9931D3"/>
    <w:multiLevelType w:val="hybridMultilevel"/>
    <w:tmpl w:val="02F6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3983"/>
    <w:multiLevelType w:val="hybridMultilevel"/>
    <w:tmpl w:val="390A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92E22"/>
    <w:multiLevelType w:val="hybridMultilevel"/>
    <w:tmpl w:val="E074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D0127"/>
    <w:multiLevelType w:val="hybridMultilevel"/>
    <w:tmpl w:val="BE5E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B2510"/>
    <w:multiLevelType w:val="hybridMultilevel"/>
    <w:tmpl w:val="3E70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643DA"/>
    <w:multiLevelType w:val="hybridMultilevel"/>
    <w:tmpl w:val="315A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2AC0"/>
    <w:multiLevelType w:val="hybridMultilevel"/>
    <w:tmpl w:val="315A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3BBF"/>
    <w:multiLevelType w:val="hybridMultilevel"/>
    <w:tmpl w:val="7AB8748C"/>
    <w:lvl w:ilvl="0" w:tplc="9EDA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EF4BF8"/>
    <w:multiLevelType w:val="hybridMultilevel"/>
    <w:tmpl w:val="7172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338F1"/>
    <w:multiLevelType w:val="hybridMultilevel"/>
    <w:tmpl w:val="54B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0E66"/>
    <w:multiLevelType w:val="hybridMultilevel"/>
    <w:tmpl w:val="3448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A4506"/>
    <w:multiLevelType w:val="hybridMultilevel"/>
    <w:tmpl w:val="7AB8748C"/>
    <w:lvl w:ilvl="0" w:tplc="9EDA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F35EBD"/>
    <w:multiLevelType w:val="hybridMultilevel"/>
    <w:tmpl w:val="9626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E0B3B"/>
    <w:multiLevelType w:val="hybridMultilevel"/>
    <w:tmpl w:val="880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93BCB"/>
    <w:multiLevelType w:val="hybridMultilevel"/>
    <w:tmpl w:val="35E64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E411F"/>
    <w:multiLevelType w:val="hybridMultilevel"/>
    <w:tmpl w:val="3D98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0F0B"/>
    <w:multiLevelType w:val="hybridMultilevel"/>
    <w:tmpl w:val="7548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74C82"/>
    <w:multiLevelType w:val="hybridMultilevel"/>
    <w:tmpl w:val="D9E6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"/>
  </w:num>
  <w:num w:numId="5">
    <w:abstractNumId w:val="14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21"/>
  </w:num>
  <w:num w:numId="15">
    <w:abstractNumId w:val="6"/>
  </w:num>
  <w:num w:numId="16">
    <w:abstractNumId w:val="16"/>
  </w:num>
  <w:num w:numId="17">
    <w:abstractNumId w:val="3"/>
  </w:num>
  <w:num w:numId="18">
    <w:abstractNumId w:val="10"/>
  </w:num>
  <w:num w:numId="19">
    <w:abstractNumId w:val="17"/>
  </w:num>
  <w:num w:numId="20">
    <w:abstractNumId w:val="15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34eb23e-bbce-4818-932c-f565a1df0da7"/>
  </w:docVars>
  <w:rsids>
    <w:rsidRoot w:val="0053701E"/>
    <w:rsid w:val="00065C39"/>
    <w:rsid w:val="00067AC7"/>
    <w:rsid w:val="000879E3"/>
    <w:rsid w:val="000E287F"/>
    <w:rsid w:val="00120207"/>
    <w:rsid w:val="001208B6"/>
    <w:rsid w:val="0019788C"/>
    <w:rsid w:val="001D360C"/>
    <w:rsid w:val="002775BF"/>
    <w:rsid w:val="002E50EA"/>
    <w:rsid w:val="003F6B88"/>
    <w:rsid w:val="0045776E"/>
    <w:rsid w:val="00473EB3"/>
    <w:rsid w:val="004C723B"/>
    <w:rsid w:val="0053701E"/>
    <w:rsid w:val="00547169"/>
    <w:rsid w:val="005819A5"/>
    <w:rsid w:val="005A7E17"/>
    <w:rsid w:val="0064367C"/>
    <w:rsid w:val="006E6F07"/>
    <w:rsid w:val="006F5CE9"/>
    <w:rsid w:val="00783AA6"/>
    <w:rsid w:val="007B45D7"/>
    <w:rsid w:val="008447A2"/>
    <w:rsid w:val="008476FD"/>
    <w:rsid w:val="008D4BB3"/>
    <w:rsid w:val="00901CC4"/>
    <w:rsid w:val="00941B4C"/>
    <w:rsid w:val="009634F7"/>
    <w:rsid w:val="00A215F1"/>
    <w:rsid w:val="00A9476E"/>
    <w:rsid w:val="00AD0D4A"/>
    <w:rsid w:val="00AD1B35"/>
    <w:rsid w:val="00B04E96"/>
    <w:rsid w:val="00B16D7B"/>
    <w:rsid w:val="00B23504"/>
    <w:rsid w:val="00B734EC"/>
    <w:rsid w:val="00BE229E"/>
    <w:rsid w:val="00BF64B4"/>
    <w:rsid w:val="00CB174D"/>
    <w:rsid w:val="00CC25D9"/>
    <w:rsid w:val="00CD4BD7"/>
    <w:rsid w:val="00D10FA5"/>
    <w:rsid w:val="00D16F30"/>
    <w:rsid w:val="00D563D5"/>
    <w:rsid w:val="00D716FA"/>
    <w:rsid w:val="00EC50E3"/>
    <w:rsid w:val="00EE7C03"/>
    <w:rsid w:val="00F54370"/>
    <w:rsid w:val="00F54D27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E3"/>
    <w:pPr>
      <w:ind w:left="720"/>
      <w:contextualSpacing/>
    </w:pPr>
  </w:style>
  <w:style w:type="character" w:customStyle="1" w:styleId="1">
    <w:name w:val="Основной текст1"/>
    <w:basedOn w:val="a0"/>
    <w:rsid w:val="00B23504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84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8B6"/>
  </w:style>
  <w:style w:type="paragraph" w:styleId="a6">
    <w:name w:val="footer"/>
    <w:basedOn w:val="a"/>
    <w:link w:val="a7"/>
    <w:uiPriority w:val="99"/>
    <w:semiHidden/>
    <w:unhideWhenUsed/>
    <w:rsid w:val="0012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</dc:creator>
  <cp:lastModifiedBy>Отдел Экономики-Булатова Т.Е.</cp:lastModifiedBy>
  <cp:revision>5</cp:revision>
  <cp:lastPrinted>2017-04-17T12:07:00Z</cp:lastPrinted>
  <dcterms:created xsi:type="dcterms:W3CDTF">2017-04-17T13:08:00Z</dcterms:created>
  <dcterms:modified xsi:type="dcterms:W3CDTF">2017-04-17T13:12:00Z</dcterms:modified>
</cp:coreProperties>
</file>